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Практикум: шесть схем</w:t>
      </w:r>
    </w:p>
    <w:p>
      <w:r>
        <w:t>Для участника: назовите пару, основание, документ и дату. Все проценты — голоса.</w:t>
      </w:r>
    </w:p>
    <w:p>
      <w:pPr>
        <w:pStyle w:val="Heading2"/>
      </w:pPr>
      <w:r>
        <w:t>Схема 1. А владеет 30% голосов Б</w:t>
      </w:r>
    </w:p>
    <w:p>
      <w:r>
        <w:drawing>
          <wp:inline xmlns:a="http://schemas.openxmlformats.org/drawingml/2006/main" xmlns:pic="http://schemas.openxmlformats.org/drawingml/2006/picture">
            <wp:extent cx="6400800" cy="182091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rec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8209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 w:val="0"/>
        </w:rPr>
        <w:t>Нужно ли для этой пары доказывать группу?</w:t>
      </w:r>
    </w:p>
    <w:p>
      <w:r>
        <w:rPr>
          <w:b w:val="0"/>
        </w:rPr>
        <w:t>Мой вывод / норма / документ: ________________________________________</w:t>
      </w:r>
    </w:p>
    <w:p>
      <w:pPr>
        <w:pStyle w:val="Heading2"/>
      </w:pPr>
      <w:r>
        <w:t>Схема 2. Общий участник: 60% и 70%</w:t>
      </w:r>
    </w:p>
    <w:p>
      <w:r>
        <w:drawing>
          <wp:inline xmlns:a="http://schemas.openxmlformats.org/drawingml/2006/main" xmlns:pic="http://schemas.openxmlformats.org/drawingml/2006/picture">
            <wp:extent cx="6400800" cy="182091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wner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8209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 w:val="0"/>
        </w:rPr>
        <w:t>Какие пункты связывают два общества?</w:t>
      </w:r>
    </w:p>
    <w:p>
      <w:r>
        <w:rPr>
          <w:b w:val="0"/>
        </w:rPr>
        <w:t>Мой вывод / норма / документ: ________________________________________</w:t>
      </w:r>
    </w:p>
    <w:p>
      <w:r>
        <w:br w:type="page"/>
      </w:r>
    </w:p>
    <w:p>
      <w:pPr>
        <w:pStyle w:val="Heading1"/>
      </w:pPr>
      <w:r>
        <w:t>Схемы для самостоятельного разбора</w:t>
      </w:r>
    </w:p>
    <w:p>
      <w:pPr>
        <w:pStyle w:val="Heading2"/>
      </w:pPr>
      <w:r>
        <w:t>Схема 3. Общий директор</w:t>
      </w:r>
    </w:p>
    <w:p>
      <w:r>
        <w:drawing>
          <wp:inline xmlns:a="http://schemas.openxmlformats.org/drawingml/2006/main" xmlns:pic="http://schemas.openxmlformats.org/drawingml/2006/picture">
            <wp:extent cx="6400800" cy="182091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rector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8209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 w:val="0"/>
        </w:rPr>
        <w:t>А если директор не имеет долей?</w:t>
      </w:r>
    </w:p>
    <w:p>
      <w:r>
        <w:rPr>
          <w:b w:val="0"/>
        </w:rPr>
        <w:t>Мой вывод / норма / документ: ________________________________________</w:t>
      </w:r>
    </w:p>
    <w:p>
      <w:pPr>
        <w:pStyle w:val="Heading2"/>
      </w:pPr>
      <w:r>
        <w:t>Схема 4. Семейная связь</w:t>
      </w:r>
    </w:p>
    <w:p>
      <w:r>
        <w:drawing>
          <wp:inline xmlns:a="http://schemas.openxmlformats.org/drawingml/2006/main" xmlns:pic="http://schemas.openxmlformats.org/drawingml/2006/picture">
            <wp:extent cx="6400800" cy="182091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mily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8209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 w:val="0"/>
        </w:rPr>
        <w:t>Достаточно ли одинаковой фамилии?</w:t>
      </w:r>
    </w:p>
    <w:p>
      <w:r>
        <w:rPr>
          <w:b w:val="0"/>
        </w:rPr>
        <w:t>Мой вывод / норма / документ: ________________________________________</w:t>
      </w:r>
    </w:p>
    <w:p>
      <w:r>
        <w:br w:type="page"/>
      </w:r>
    </w:p>
    <w:p>
      <w:pPr>
        <w:pStyle w:val="Heading1"/>
      </w:pPr>
      <w:r>
        <w:t>Схемы для самостоятельного разбора</w:t>
      </w:r>
    </w:p>
    <w:p>
      <w:pPr>
        <w:pStyle w:val="Heading2"/>
      </w:pPr>
      <w:r>
        <w:t>Схема 5. Голоса участников группы</w:t>
      </w:r>
    </w:p>
    <w:p>
      <w:r>
        <w:drawing>
          <wp:inline xmlns:a="http://schemas.openxmlformats.org/drawingml/2006/main" xmlns:pic="http://schemas.openxmlformats.org/drawingml/2006/picture">
            <wp:extent cx="6400800" cy="182091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oint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8209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 w:val="0"/>
        </w:rPr>
        <w:t>Можно ли так же сложить доли двух посторонних лиц?</w:t>
      </w:r>
    </w:p>
    <w:p>
      <w:r>
        <w:rPr>
          <w:b w:val="0"/>
        </w:rPr>
        <w:t>Мой вывод / норма / документ: ________________________________________</w:t>
      </w:r>
    </w:p>
    <w:p>
      <w:pPr>
        <w:pStyle w:val="Heading2"/>
      </w:pPr>
      <w:r>
        <w:t>Схема 6. Каверин: 100% и 30%</w:t>
      </w:r>
    </w:p>
    <w:p>
      <w:r>
        <w:drawing>
          <wp:inline xmlns:a="http://schemas.openxmlformats.org/drawingml/2006/main" xmlns:pic="http://schemas.openxmlformats.org/drawingml/2006/picture">
            <wp:extent cx="6400800" cy="182091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verin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8209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 w:val="0"/>
        </w:rPr>
        <w:t>Какой дополнительный факт изменит вывод?</w:t>
      </w:r>
    </w:p>
    <w:p>
      <w:r>
        <w:rPr>
          <w:b w:val="0"/>
        </w:rPr>
        <w:t>Мой вывод / норма / документ: ________________________________________</w:t>
      </w:r>
    </w:p>
    <w:p>
      <w:r>
        <w:br w:type="page"/>
      </w:r>
    </w:p>
    <w:p>
      <w:pPr>
        <w:pStyle w:val="Heading1"/>
      </w:pPr>
      <w:r>
        <w:t>Ответы ведущего</w:t>
      </w:r>
    </w:p>
    <w:p>
      <w:pPr>
        <w:pStyle w:val="Heading2"/>
      </w:pPr>
      <w:r>
        <w:t>Схема 1. А владеет 30% голосов Б</w:t>
      </w:r>
    </w:p>
    <w:p>
      <w:r>
        <w:rPr>
          <w:b w:val="0"/>
        </w:rPr>
        <w:t>Аффилированность подтверждается напрямую. Нет. Достаточно подтвержденного прямого основания статьи 4.</w:t>
      </w:r>
    </w:p>
    <w:p>
      <w:pPr>
        <w:pStyle w:val="Heading2"/>
      </w:pPr>
      <w:r>
        <w:t>Схема 2. Общий участник: 60% и 70%</w:t>
      </w:r>
    </w:p>
    <w:p>
      <w:r>
        <w:rPr>
          <w:b w:val="0"/>
        </w:rPr>
        <w:t>Оба общества входят в одну группу. Пункт 1 для каждой связи с участником; пункт 8 для объединения. Затем статья 4.</w:t>
      </w:r>
    </w:p>
    <w:p>
      <w:pPr>
        <w:pStyle w:val="Heading2"/>
      </w:pPr>
      <w:r>
        <w:t>Схема 3. Общий директор</w:t>
      </w:r>
    </w:p>
    <w:p>
      <w:r>
        <w:rPr>
          <w:b w:val="0"/>
        </w:rPr>
        <w:t>Доли участия для этого основания не нужны. Полномочия ЕИО достаточны для связи по пункту 2.</w:t>
      </w:r>
    </w:p>
    <w:p>
      <w:pPr>
        <w:pStyle w:val="Heading2"/>
      </w:pPr>
      <w:r>
        <w:t>Схема 4. Семейная связь</w:t>
      </w:r>
    </w:p>
    <w:p>
      <w:r>
        <w:rPr>
          <w:b w:val="0"/>
        </w:rPr>
        <w:t>Мать и дочь контролируют разные общества. Нет. Родство и каждая корпоративная связь подтверждаются отдельно.</w:t>
      </w:r>
    </w:p>
    <w:p>
      <w:pPr>
        <w:pStyle w:val="Heading2"/>
      </w:pPr>
      <w:r>
        <w:t>Схема 5. Голоса участников группы</w:t>
      </w:r>
    </w:p>
    <w:p>
      <w:r>
        <w:rPr>
          <w:b w:val="0"/>
        </w:rPr>
        <w:t>Братья совместно имеют 60% голосов. Нет. Для пункта 9 сначала нужна группа по пунктам 1–8.</w:t>
      </w:r>
    </w:p>
    <w:p>
      <w:pPr>
        <w:pStyle w:val="Heading2"/>
      </w:pPr>
      <w:r>
        <w:t>Схема 6. Каверин: 100% и 30%</w:t>
      </w:r>
    </w:p>
    <w:p>
      <w:r>
        <w:rPr>
          <w:b w:val="0"/>
        </w:rPr>
        <w:t>Аффилированность обществ пока не установлена. Например, Каверин также ЕИО «Семицветика» либо его ЕИО назначен по предложению Каверина.</w:t>
      </w:r>
    </w:p>
    <w:p>
      <w:r>
        <w:rPr>
          <w:b w:val="0"/>
        </w:rPr>
        <w:t>Ключ к схеме 4: мать–дочь — п. 7, каждая с обществом — п. 1, объединение — п. 8; затем ст. 4. К схеме 5: братья — п. 7, их совместные 60% — п. 9. К схеме 6: 100% и ЕИО дают группу с «Инжиром»; 30% в «Семицветике» не дают п. 1. Без другого звена вывод об аффилированности обществ не установлен.</w:t>
      </w:r>
    </w:p>
    <w:p>
      <w:pPr>
        <w:pStyle w:val="Heading2"/>
      </w:pPr>
      <w:r>
        <w:t>Оценка ответа</w:t>
      </w:r>
    </w:p>
    <w:p>
      <w:r>
        <w:rPr>
          <w:b w:val="0"/>
        </w:rPr>
        <w:t>Ответ засчитывается, если названы правильная пара, применимое основание, подтверждающий документ и дата. При неполных фактах нужно назвать пробел. Для отрицательного ответа нельзя ограничиваться проверкой только долей.</w:t>
      </w:r>
    </w:p>
    <w:p>
      <w:r>
        <w:rPr>
          <w:b w:val="0"/>
        </w:rPr>
        <w:t>Нормативная база: 646-ПП, приложение 6, п. 1.4.4 и 1.4.17; перечень документов к этому порядку, п. 1.16 и 1.17. Источник: представленная пользователем копия постановления.</w:t>
      </w:r>
    </w:p>
    <w:p>
      <w:hyperlink r:id="rId17">
        <w:r>
          <w:rPr>
            <w:color w:val="096B70"/>
          </w:rPr>
          <w:t>Статья 4 Закона РСФСР от 22.03.1991 № 948-1</w:t>
        </w:r>
      </w:hyperlink>
    </w:p>
    <w:p>
      <w:hyperlink r:id="rId18">
        <w:r>
          <w:rPr>
            <w:color w:val="096B70"/>
          </w:rPr>
          <w:t>Часть 1 статьи 9 Федерального закона от 26.07.2006 № 135-ФЗ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936" w:left="1037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8"/>
      </w:rPr>
      <w:t xml:space="preserve">Версия 1.1 • 10.09.2026                                           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rPr>
        <w:sz w:val="16"/>
      </w:rPr>
      <w:t>АФФИЛИРОВАННОСТЬ • 646-ПП • УЧЕБНЫЙ КОМПЛЕКТ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Times New Roman" w:hAnsi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20"/>
      <w:outlineLvl w:val="0"/>
    </w:pPr>
    <w:rPr>
      <w:rFonts w:cstheme="majorBidi" w:ascii="Times New Roman" w:hAnsi="Times New Roman"/>
      <w:b/>
      <w:bCs/>
      <w:color w:val="182C3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20"/>
      <w:outlineLvl w:val="1"/>
    </w:pPr>
    <w:rPr>
      <w:rFonts w:cstheme="majorBidi" w:ascii="Times New Roman" w:hAnsi="Times New Roman"/>
      <w:b/>
      <w:bCs/>
      <w:color w:val="182C3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120"/>
      <w:outlineLvl w:val="2"/>
    </w:pPr>
    <w:rPr>
      <w:rFonts w:cstheme="majorBidi" w:ascii="Times New Roman" w:hAnsi="Times New Roman"/>
      <w:b/>
      <w:bCs/>
      <w:color w:val="182C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cstheme="majorBidi" w:ascii="Times New Roman" w:hAnsi="Times New Roman"/>
      <w:b/>
      <w:bCs/>
      <w:i/>
      <w:iCs/>
      <w:color w:val="4F81BD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cstheme="majorBidi" w:ascii="Times New Roman" w:hAnsi="Times New Roman"/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cstheme="majorBidi" w:ascii="Times New Roman" w:hAnsi="Times New Roman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cstheme="majorBidi" w:ascii="Times New Roman" w:hAnsi="Times New Roman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cstheme="majorBidi" w:ascii="Times New Roman" w:hAnsi="Times New Roman"/>
      <w:color w:val="4F81BD" w:themeColor="accent1"/>
      <w:sz w:val="22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cstheme="majorBidi" w:ascii="Times New Roman" w:hAnsi="Times New Roman"/>
      <w:i/>
      <w:iCs/>
      <w:color w:val="404040" w:themeColor="text1" w:themeTint="BF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Times New Roman" w:hAnsi="Times New Roman"/>
      <w:sz w:val="22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Times New Roman" w:hAnsi="Times New Roman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cstheme="majorBidi" w:ascii="Times New Roman" w:hAnsi="Times New Roman"/>
      <w:b/>
      <w:bCs/>
      <w:color w:val="365F91" w:themeColor="accent1" w:themeShade="BF"/>
      <w:sz w:val="2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cstheme="majorBidi" w:ascii="Times New Roman" w:hAnsi="Times New Roman"/>
      <w:b/>
      <w:bCs/>
      <w:color w:val="4F81BD" w:themeColor="accen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cstheme="majorBidi" w:ascii="Times New Roman" w:hAnsi="Times New Roman"/>
      <w:b/>
      <w:bCs/>
      <w:color w:val="4F81BD" w:themeColor="accent1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20" w:line="240" w:lineRule="auto" w:before="180"/>
      <w:contextualSpacing/>
    </w:pPr>
    <w:rPr>
      <w:rFonts w:cstheme="majorBidi" w:ascii="Times New Roman" w:hAnsi="Times New Roman"/>
      <w:b/>
      <w:color w:val="182C3C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cstheme="majorBidi" w:ascii="Times New Roman" w:hAnsi="Times New Roman"/>
      <w:color w:val="17365D" w:themeColor="text2" w:themeShade="BF"/>
      <w:spacing w:val="5"/>
      <w:kern w:val="28"/>
      <w:sz w:val="2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cstheme="majorBidi" w:ascii="Times New Roman" w:hAnsi="Times New Roman"/>
      <w:i/>
      <w:iCs/>
      <w:color w:val="4F81BD" w:themeColor="accent1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cstheme="majorBidi" w:ascii="Times New Roman" w:hAnsi="Times New Roman"/>
      <w:i/>
      <w:iCs/>
      <w:color w:val="4F81BD" w:themeColor="accent1"/>
      <w:spacing w:val="15"/>
      <w:sz w:val="22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Times New Roman" w:hAnsi="Times New Roman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Times New Roman" w:hAnsi="Times New Roman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Times New Roman" w:hAnsi="Times New Roman"/>
      <w:sz w:val="22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Times New Roman" w:hAnsi="Times New Roman"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Times New Roman" w:hAnsi="Times New Roman"/>
      <w:sz w:val="22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Times New Roman" w:hAnsi="Times New Roman"/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Times New Roman" w:hAnsi="Times New Roman"/>
      <w:sz w:val="22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Times New Roman" w:hAnsi="Times New Roman"/>
      <w:sz w:val="22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Times New Roman" w:hAnsi="Times New Roman"/>
      <w:sz w:val="22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Times New Roman" w:hAnsi="Times New Roman"/>
      <w:sz w:val="22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imes New Roman" w:hAnsi="Times New Roman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Times New Roman" w:hAnsi="Times New Roman"/>
      <w:sz w:val="22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Times New Roman" w:hAnsi="Times New Roman"/>
      <w:sz w:val="22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Times New Roman" w:hAnsi="Times New Roman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Times New Roman" w:hAnsi="Times New Roman"/>
      <w:sz w:val="22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Times New Roman" w:hAnsi="Times New Roman"/>
      <w:sz w:val="22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Times New Roman" w:hAnsi="Times New Roman"/>
      <w:sz w:val="22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Times New Roman" w:hAnsi="Times New Roman"/>
      <w:sz w:val="22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Times New Roman" w:hAnsi="Times New Roman"/>
      <w:sz w:val="22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hAnsi="Times New Roman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Times New Roman" w:hAnsi="Times New Roman"/>
      <w:sz w:val="22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Times New Roman" w:hAnsi="Times New Roman"/>
      <w:i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Times New Roman" w:hAnsi="Times New Roman"/>
      <w:i/>
      <w:iCs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cstheme="majorBidi" w:ascii="Times New Roman" w:hAnsi="Times New Roman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cstheme="majorBidi" w:ascii="Times New Roman" w:hAnsi="Times New Roman"/>
      <w:color w:val="243F60" w:themeColor="accent1" w:themeShade="7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cstheme="majorBidi" w:ascii="Times New Roman" w:hAnsi="Times New Roman"/>
      <w:i/>
      <w:iCs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cstheme="majorBidi" w:ascii="Times New Roman" w:hAnsi="Times New Roman"/>
      <w:i/>
      <w:iCs/>
      <w:color w:val="404040" w:themeColor="text1" w:themeTint="B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cstheme="majorBidi" w:ascii="Times New Roman" w:hAnsi="Times New Roman"/>
      <w:color w:val="4F81BD" w:themeColor="accent1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cstheme="majorBidi" w:ascii="Times New Roman" w:hAnsi="Times New Roman"/>
      <w:i/>
      <w:iCs/>
      <w:color w:val="404040" w:themeColor="text1" w:themeTint="BF"/>
      <w:sz w:val="22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Times New Roman" w:hAnsi="Times New Roman"/>
      <w:b/>
      <w:bCs/>
      <w:color w:val="4F81BD" w:themeColor="accent1"/>
      <w:sz w:val="22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Times New Roman" w:hAnsi="Times New Roman"/>
      <w:b/>
      <w:bCs/>
      <w:sz w:val="22"/>
    </w:rPr>
  </w:style>
  <w:style w:type="character" w:styleId="Emphasis">
    <w:name w:val="Emphasis"/>
    <w:basedOn w:val="DefaultParagraphFont"/>
    <w:uiPriority w:val="20"/>
    <w:qFormat/>
    <w:rsid w:val="00FC693F"/>
    <w:rPr>
      <w:rFonts w:ascii="Times New Roman" w:hAnsi="Times New Roman"/>
      <w:i/>
      <w:iCs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rFonts w:ascii="Times New Roman" w:hAnsi="Times New Roman"/>
      <w:b/>
      <w:bCs/>
      <w:i/>
      <w:iCs/>
      <w:color w:val="4F81BD" w:themeColor="accent1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Times New Roman" w:hAnsi="Times New Roman"/>
      <w:b/>
      <w:bCs/>
      <w:i/>
      <w:iCs/>
      <w:color w:val="4F81BD" w:themeColor="accent1"/>
      <w:sz w:val="22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Times New Roman" w:hAnsi="Times New Roman"/>
      <w:i/>
      <w:iCs/>
      <w:color w:val="808080" w:themeColor="text1" w:themeTint="7F"/>
      <w:sz w:val="22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Times New Roman" w:hAnsi="Times New Roman"/>
      <w:b/>
      <w:bCs/>
      <w:i/>
      <w:iCs/>
      <w:color w:val="4F81BD" w:themeColor="accent1"/>
      <w:sz w:val="22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Times New Roman" w:hAnsi="Times New Roman"/>
      <w:smallCaps/>
      <w:color w:val="C0504D" w:themeColor="accent2"/>
      <w:sz w:val="2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Times New Roman" w:hAnsi="Times New Roman"/>
      <w:b/>
      <w:bCs/>
      <w:smallCaps/>
      <w:color w:val="C0504D" w:themeColor="accen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Times New Roman" w:hAnsi="Times New Roman"/>
      <w:b/>
      <w:bCs/>
      <w:smallCaps/>
      <w:spacing w:val="5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Times New Roman" w:hAnsi="Times New Roman"/>
      <w:sz w:val="22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hyperlink" Target="https://www.consultant.ru/document/cons_doc_LAW_51/932741089b4d76ab07c535e5835a98a88479b2e8/" TargetMode="External"/><Relationship Id="rId18" Type="http://schemas.openxmlformats.org/officeDocument/2006/relationships/hyperlink" Target="https://www.consultant.ru/document/cons_doc_LAW_61763/6216ed1750c4bef4601d5a9d3a2762cf6763ba2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