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Чек-лист эксперта</w:t>
      </w:r>
    </w:p>
    <w:p>
      <w:r>
        <w:t>Рабочая карточка проверки аффилированности по приложению 6 к 646-ПП.</w:t>
      </w:r>
    </w:p>
    <w:p>
      <w:r>
        <w:rPr>
          <w:b w:val="0"/>
        </w:rPr>
        <w:t>Претендент / ИНН: ___________________________________________________</w:t>
        <w:br/>
        <w:t>Проверяемое лицо / ИНН: ______________________________________________</w:t>
        <w:br/>
        <w:t>Дата заявки: ____________  Условие: п. 1.4.4 / п. 1.4.17 / другое ___________</w:t>
      </w:r>
    </w:p>
    <w:tbl>
      <w:tblPr>
        <w:tblW w:type="auto" w:w="0"/>
        <w:tblLayout w:type="fixed"/>
        <w:tblLook w:firstColumn="1" w:firstRow="1" w:lastColumn="0" w:lastRow="0" w:noHBand="0" w:noVBand="1" w:val="04A0"/>
        <w:tblBorders>
          <w:top w:val="single" w:sz="4" w:color="CDD7DB"/>
          <w:left w:val="single" w:sz="4" w:color="CDD7DB"/>
          <w:bottom w:val="single" w:sz="4" w:color="CDD7DB"/>
          <w:right w:val="single" w:sz="4" w:color="CDD7DB"/>
          <w:insideH w:val="single" w:sz="4" w:color="CDD7DB"/>
          <w:insideV w:val="single" w:sz="4" w:color="CDD7DB"/>
        </w:tblBorders>
      </w:tblPr>
      <w:tblGrid>
        <w:gridCol w:w="720"/>
        <w:gridCol w:w="9446"/>
      </w:tblGrid>
      <w:tr>
        <w:trPr>
          <w:cantSplit/>
          <w:tblHeader/>
        </w:trPr>
        <w:tc>
          <w:tcPr>
            <w:tcW w:type="dxa" w:w="720"/>
            <w:shd w:fill="182C3C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spacing w:after="40"/>
            </w:pPr>
            <w:r>
              <w:rPr>
                <w:b/>
                <w:color w:val="FFFFFF"/>
                <w:sz w:val="20"/>
              </w:rPr>
              <w:t>Отм.</w:t>
            </w:r>
          </w:p>
        </w:tc>
        <w:tc>
          <w:tcPr>
            <w:tcW w:type="dxa" w:w="9446"/>
            <w:shd w:fill="182C3C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spacing w:after="40"/>
            </w:pPr>
            <w:r>
              <w:rPr>
                <w:b/>
                <w:color w:val="FFFFFF"/>
                <w:sz w:val="20"/>
              </w:rPr>
              <w:t>Проверка</w:t>
            </w:r>
          </w:p>
        </w:tc>
      </w:tr>
      <w:tr>
        <w:trPr>
          <w:cantSplit/>
        </w:trPr>
        <w:tc>
          <w:tcPr>
            <w:tcW w:type="dxa" w:w="720"/>
            <w:shd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spacing w:after="40"/>
            </w:pPr>
            <w:r>
              <w:rPr>
                <w:b w:val="0"/>
                <w:color w:val="182C3C"/>
                <w:sz w:val="20"/>
              </w:rPr>
              <w:t>□</w:t>
            </w:r>
          </w:p>
        </w:tc>
        <w:tc>
          <w:tcPr>
            <w:tcW w:type="dxa" w:w="9446"/>
            <w:shd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spacing w:after="40"/>
            </w:pPr>
            <w:r>
              <w:rPr>
                <w:b w:val="0"/>
                <w:color w:val="182C3C"/>
                <w:sz w:val="20"/>
              </w:rPr>
              <w:t>Определены мера, пункт, редакции и дата, на которую проверяются связи.</w:t>
            </w:r>
          </w:p>
        </w:tc>
      </w:tr>
      <w:tr>
        <w:trPr>
          <w:cantSplit/>
        </w:trPr>
        <w:tc>
          <w:tcPr>
            <w:tcW w:type="dxa" w:w="720"/>
            <w:shd w:fill="EFF3F4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spacing w:after="40"/>
            </w:pPr>
            <w:r>
              <w:rPr>
                <w:b w:val="0"/>
                <w:color w:val="182C3C"/>
                <w:sz w:val="20"/>
              </w:rPr>
              <w:t>□</w:t>
            </w:r>
          </w:p>
        </w:tc>
        <w:tc>
          <w:tcPr>
            <w:tcW w:type="dxa" w:w="9446"/>
            <w:shd w:fill="EFF3F4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spacing w:after="40"/>
            </w:pPr>
            <w:r>
              <w:rPr>
                <w:b w:val="0"/>
                <w:color w:val="182C3C"/>
                <w:sz w:val="20"/>
              </w:rPr>
              <w:t>Лица идентифицированы, тождество не основано только на фамилии.</w:t>
            </w:r>
          </w:p>
        </w:tc>
      </w:tr>
      <w:tr>
        <w:trPr>
          <w:cantSplit/>
        </w:trPr>
        <w:tc>
          <w:tcPr>
            <w:tcW w:type="dxa" w:w="720"/>
            <w:shd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spacing w:after="40"/>
            </w:pPr>
            <w:r>
              <w:rPr>
                <w:b w:val="0"/>
                <w:color w:val="182C3C"/>
                <w:sz w:val="20"/>
              </w:rPr>
              <w:t>□</w:t>
            </w:r>
          </w:p>
        </w:tc>
        <w:tc>
          <w:tcPr>
            <w:tcW w:type="dxa" w:w="9446"/>
            <w:shd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spacing w:after="40"/>
            </w:pPr>
            <w:r>
              <w:rPr>
                <w:b w:val="0"/>
                <w:color w:val="182C3C"/>
                <w:sz w:val="20"/>
              </w:rPr>
              <w:t>Проверены прямые основания ст. 4 и фактический объём голосов.</w:t>
            </w:r>
          </w:p>
        </w:tc>
      </w:tr>
      <w:tr>
        <w:trPr>
          <w:cantSplit/>
        </w:trPr>
        <w:tc>
          <w:tcPr>
            <w:tcW w:type="dxa" w:w="720"/>
            <w:shd w:fill="EFF3F4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spacing w:after="40"/>
            </w:pPr>
            <w:r>
              <w:rPr>
                <w:b w:val="0"/>
                <w:color w:val="182C3C"/>
                <w:sz w:val="20"/>
              </w:rPr>
              <w:t>□</w:t>
            </w:r>
          </w:p>
        </w:tc>
        <w:tc>
          <w:tcPr>
            <w:tcW w:type="dxa" w:w="9446"/>
            <w:shd w:fill="EFF3F4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spacing w:after="40"/>
            </w:pPr>
            <w:r>
              <w:rPr>
                <w:b w:val="0"/>
                <w:color w:val="182C3C"/>
                <w:sz w:val="20"/>
              </w:rPr>
              <w:t>Для группы указан конкретный пункт ст. 9 возле каждого звена.</w:t>
            </w:r>
          </w:p>
        </w:tc>
      </w:tr>
      <w:tr>
        <w:trPr>
          <w:cantSplit/>
        </w:trPr>
        <w:tc>
          <w:tcPr>
            <w:tcW w:type="dxa" w:w="720"/>
            <w:shd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spacing w:after="40"/>
            </w:pPr>
            <w:r>
              <w:rPr>
                <w:b w:val="0"/>
                <w:color w:val="182C3C"/>
                <w:sz w:val="20"/>
              </w:rPr>
              <w:t>□</w:t>
            </w:r>
          </w:p>
        </w:tc>
        <w:tc>
          <w:tcPr>
            <w:tcW w:type="dxa" w:w="9446"/>
            <w:shd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spacing w:after="40"/>
            </w:pPr>
            <w:r>
              <w:rPr>
                <w:b w:val="0"/>
                <w:color w:val="182C3C"/>
                <w:sz w:val="20"/>
              </w:rPr>
              <w:t>Для п. 8 подтверждены необходимые исходные связи по п. 1–7.</w:t>
            </w:r>
          </w:p>
        </w:tc>
      </w:tr>
      <w:tr>
        <w:trPr>
          <w:cantSplit/>
        </w:trPr>
        <w:tc>
          <w:tcPr>
            <w:tcW w:type="dxa" w:w="720"/>
            <w:shd w:fill="EFF3F4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spacing w:after="40"/>
            </w:pPr>
            <w:r>
              <w:rPr>
                <w:b w:val="0"/>
                <w:color w:val="182C3C"/>
                <w:sz w:val="20"/>
              </w:rPr>
              <w:t>□</w:t>
            </w:r>
          </w:p>
        </w:tc>
        <w:tc>
          <w:tcPr>
            <w:tcW w:type="dxa" w:w="9446"/>
            <w:shd w:fill="EFF3F4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spacing w:after="40"/>
            </w:pPr>
            <w:r>
              <w:rPr>
                <w:b w:val="0"/>
                <w:color w:val="182C3C"/>
                <w:sz w:val="20"/>
              </w:rPr>
              <w:t>Для п. 9 группа по п. 1–8 доказана до сложения голосов.</w:t>
            </w:r>
          </w:p>
        </w:tc>
      </w:tr>
      <w:tr>
        <w:trPr>
          <w:cantSplit/>
        </w:trPr>
        <w:tc>
          <w:tcPr>
            <w:tcW w:type="dxa" w:w="720"/>
            <w:shd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spacing w:after="40"/>
            </w:pPr>
            <w:r>
              <w:rPr>
                <w:b w:val="0"/>
                <w:color w:val="182C3C"/>
                <w:sz w:val="20"/>
              </w:rPr>
              <w:t>□</w:t>
            </w:r>
          </w:p>
        </w:tc>
        <w:tc>
          <w:tcPr>
            <w:tcW w:type="dxa" w:w="9446"/>
            <w:shd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spacing w:after="40"/>
            </w:pPr>
            <w:r>
              <w:rPr>
                <w:b w:val="0"/>
                <w:color w:val="182C3C"/>
                <w:sz w:val="20"/>
              </w:rPr>
              <w:t>Каждое существенное звено подтверждено на день подачи заявки.</w:t>
            </w:r>
          </w:p>
        </w:tc>
      </w:tr>
      <w:tr>
        <w:trPr>
          <w:cantSplit/>
        </w:trPr>
        <w:tc>
          <w:tcPr>
            <w:tcW w:type="dxa" w:w="720"/>
            <w:shd w:fill="EFF3F4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spacing w:after="40"/>
            </w:pPr>
            <w:r>
              <w:rPr>
                <w:b w:val="0"/>
                <w:color w:val="182C3C"/>
                <w:sz w:val="20"/>
              </w:rPr>
              <w:t>□</w:t>
            </w:r>
          </w:p>
        </w:tc>
        <w:tc>
          <w:tcPr>
            <w:tcW w:type="dxa" w:w="9446"/>
            <w:shd w:fill="EFF3F4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spacing w:after="40"/>
            </w:pPr>
            <w:r>
              <w:rPr>
                <w:b w:val="0"/>
                <w:color w:val="182C3C"/>
                <w:sz w:val="20"/>
              </w:rPr>
              <w:t>Нет автоматического переноса аффилированности через общего участника.</w:t>
            </w:r>
          </w:p>
        </w:tc>
      </w:tr>
      <w:tr>
        <w:trPr>
          <w:cantSplit/>
        </w:trPr>
        <w:tc>
          <w:tcPr>
            <w:tcW w:type="dxa" w:w="720"/>
            <w:shd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spacing w:after="40"/>
            </w:pPr>
            <w:r>
              <w:rPr>
                <w:b w:val="0"/>
                <w:color w:val="182C3C"/>
                <w:sz w:val="20"/>
              </w:rPr>
              <w:t>□</w:t>
            </w:r>
          </w:p>
        </w:tc>
        <w:tc>
          <w:tcPr>
            <w:tcW w:type="dxa" w:w="9446"/>
            <w:shd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spacing w:after="40"/>
            </w:pPr>
            <w:r>
              <w:rPr>
                <w:b w:val="0"/>
                <w:color w:val="182C3C"/>
                <w:sz w:val="20"/>
              </w:rPr>
              <w:t>Основной вид деятельности / производство оценены отдельно от связи.</w:t>
            </w:r>
          </w:p>
        </w:tc>
      </w:tr>
      <w:tr>
        <w:trPr>
          <w:cantSplit/>
        </w:trPr>
        <w:tc>
          <w:tcPr>
            <w:tcW w:type="dxa" w:w="720"/>
            <w:shd w:fill="EFF3F4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spacing w:after="40"/>
            </w:pPr>
            <w:r>
              <w:rPr>
                <w:b w:val="0"/>
                <w:color w:val="182C3C"/>
                <w:sz w:val="20"/>
              </w:rPr>
              <w:t>□</w:t>
            </w:r>
          </w:p>
        </w:tc>
        <w:tc>
          <w:tcPr>
            <w:tcW w:type="dxa" w:w="9446"/>
            <w:shd w:fill="EFF3F4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spacing w:after="40"/>
            </w:pPr>
            <w:r>
              <w:rPr>
                <w:b w:val="0"/>
                <w:color w:val="182C3C"/>
                <w:sz w:val="20"/>
              </w:rPr>
              <w:t>В выводе названы норма, документы, дата и пределы проверки.</w:t>
            </w:r>
          </w:p>
        </w:tc>
      </w:tr>
    </w:tbl>
    <w:p>
      <w:r>
        <w:rPr>
          <w:b w:val="0"/>
        </w:rPr>
        <w:t>Результат: □ подтверждено  □ по представленным данным не установлено  □ есть противоречия.</w:t>
        <w:br/>
        <w:t>Эксперт: __________________   Второй эксперт: __________________   Дата: __________</w:t>
      </w:r>
    </w:p>
    <w:p>
      <w:r>
        <w:br w:type="page"/>
      </w:r>
    </w:p>
    <w:p>
      <w:pPr>
        <w:pStyle w:val="Heading1"/>
      </w:pPr>
      <w:r>
        <w:t>Форма связей и короткого вывода</w:t>
      </w:r>
    </w:p>
    <w:tbl>
      <w:tblPr>
        <w:tblW w:type="auto" w:w="0"/>
        <w:tblLayout w:type="fixed"/>
        <w:tblLook w:firstColumn="1" w:firstRow="1" w:lastColumn="0" w:lastRow="0" w:noHBand="0" w:noVBand="1" w:val="04A0"/>
        <w:tblBorders>
          <w:top w:val="single" w:sz="4" w:color="CDD7DB"/>
          <w:left w:val="single" w:sz="4" w:color="CDD7DB"/>
          <w:bottom w:val="single" w:sz="4" w:color="CDD7DB"/>
          <w:right w:val="single" w:sz="4" w:color="CDD7DB"/>
          <w:insideH w:val="single" w:sz="4" w:color="CDD7DB"/>
          <w:insideV w:val="single" w:sz="4" w:color="CDD7DB"/>
        </w:tblBorders>
      </w:tblPr>
      <w:tblGrid>
        <w:gridCol w:w="2880"/>
        <w:gridCol w:w="3600"/>
        <w:gridCol w:w="3686"/>
      </w:tblGrid>
      <w:tr>
        <w:trPr>
          <w:cantSplit/>
          <w:tblHeader/>
        </w:trPr>
        <w:tc>
          <w:tcPr>
            <w:tcW w:type="dxa" w:w="2880"/>
            <w:shd w:fill="182C3C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spacing w:after="40"/>
            </w:pPr>
            <w:r>
              <w:rPr>
                <w:b/>
                <w:color w:val="FFFFFF"/>
                <w:sz w:val="20"/>
              </w:rPr>
              <w:t>Пара лиц</w:t>
            </w:r>
          </w:p>
        </w:tc>
        <w:tc>
          <w:tcPr>
            <w:tcW w:type="dxa" w:w="3600"/>
            <w:shd w:fill="182C3C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spacing w:after="40"/>
            </w:pPr>
            <w:r>
              <w:rPr>
                <w:b/>
                <w:color w:val="FFFFFF"/>
                <w:sz w:val="20"/>
              </w:rPr>
              <w:t>Факт / норма</w:t>
            </w:r>
          </w:p>
        </w:tc>
        <w:tc>
          <w:tcPr>
            <w:tcW w:type="dxa" w:w="3686"/>
            <w:shd w:fill="182C3C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spacing w:after="40"/>
            </w:pPr>
            <w:r>
              <w:rPr>
                <w:b/>
                <w:color w:val="FFFFFF"/>
                <w:sz w:val="20"/>
              </w:rPr>
              <w:t>Документ / дата</w:t>
            </w:r>
          </w:p>
        </w:tc>
      </w:tr>
      <w:tr>
        <w:trPr>
          <w:cantSplit/>
        </w:trPr>
        <w:tc>
          <w:tcPr>
            <w:tcW w:type="dxa" w:w="2880"/>
            <w:shd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spacing w:after="40"/>
            </w:pPr>
            <w:r>
              <w:rPr>
                <w:b w:val="0"/>
                <w:color w:val="182C3C"/>
                <w:sz w:val="20"/>
              </w:rPr>
              <w:t>________________</w:t>
            </w:r>
          </w:p>
        </w:tc>
        <w:tc>
          <w:tcPr>
            <w:tcW w:type="dxa" w:w="3600"/>
            <w:shd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spacing w:after="40"/>
            </w:pPr>
            <w:r>
              <w:rPr>
                <w:b w:val="0"/>
                <w:color w:val="182C3C"/>
                <w:sz w:val="20"/>
              </w:rPr>
              <w:t>________________</w:t>
            </w:r>
          </w:p>
        </w:tc>
        <w:tc>
          <w:tcPr>
            <w:tcW w:type="dxa" w:w="3686"/>
            <w:shd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spacing w:after="40"/>
            </w:pPr>
            <w:r>
              <w:rPr>
                <w:b w:val="0"/>
                <w:color w:val="182C3C"/>
                <w:sz w:val="20"/>
              </w:rPr>
              <w:t>________________</w:t>
            </w:r>
          </w:p>
        </w:tc>
      </w:tr>
      <w:tr>
        <w:trPr>
          <w:cantSplit/>
        </w:trPr>
        <w:tc>
          <w:tcPr>
            <w:tcW w:type="dxa" w:w="2880"/>
            <w:shd w:fill="EFF3F4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spacing w:after="40"/>
            </w:pPr>
            <w:r>
              <w:rPr>
                <w:b w:val="0"/>
                <w:color w:val="182C3C"/>
                <w:sz w:val="20"/>
              </w:rPr>
              <w:t>________________</w:t>
            </w:r>
          </w:p>
        </w:tc>
        <w:tc>
          <w:tcPr>
            <w:tcW w:type="dxa" w:w="3600"/>
            <w:shd w:fill="EFF3F4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spacing w:after="40"/>
            </w:pPr>
            <w:r>
              <w:rPr>
                <w:b w:val="0"/>
                <w:color w:val="182C3C"/>
                <w:sz w:val="20"/>
              </w:rPr>
              <w:t>________________</w:t>
            </w:r>
          </w:p>
        </w:tc>
        <w:tc>
          <w:tcPr>
            <w:tcW w:type="dxa" w:w="3686"/>
            <w:shd w:fill="EFF3F4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spacing w:after="40"/>
            </w:pPr>
            <w:r>
              <w:rPr>
                <w:b w:val="0"/>
                <w:color w:val="182C3C"/>
                <w:sz w:val="20"/>
              </w:rPr>
              <w:t>________________</w:t>
            </w:r>
          </w:p>
        </w:tc>
      </w:tr>
      <w:tr>
        <w:trPr>
          <w:cantSplit/>
        </w:trPr>
        <w:tc>
          <w:tcPr>
            <w:tcW w:type="dxa" w:w="2880"/>
            <w:shd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spacing w:after="40"/>
            </w:pPr>
            <w:r>
              <w:rPr>
                <w:b w:val="0"/>
                <w:color w:val="182C3C"/>
                <w:sz w:val="20"/>
              </w:rPr>
              <w:t>________________</w:t>
            </w:r>
          </w:p>
        </w:tc>
        <w:tc>
          <w:tcPr>
            <w:tcW w:type="dxa" w:w="3600"/>
            <w:shd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spacing w:after="40"/>
            </w:pPr>
            <w:r>
              <w:rPr>
                <w:b w:val="0"/>
                <w:color w:val="182C3C"/>
                <w:sz w:val="20"/>
              </w:rPr>
              <w:t>________________</w:t>
            </w:r>
          </w:p>
        </w:tc>
        <w:tc>
          <w:tcPr>
            <w:tcW w:type="dxa" w:w="3686"/>
            <w:shd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spacing w:after="40"/>
            </w:pPr>
            <w:r>
              <w:rPr>
                <w:b w:val="0"/>
                <w:color w:val="182C3C"/>
                <w:sz w:val="20"/>
              </w:rPr>
              <w:t>________________</w:t>
            </w:r>
          </w:p>
        </w:tc>
      </w:tr>
    </w:tbl>
    <w:p>
      <w:pPr>
        <w:pStyle w:val="Heading2"/>
      </w:pPr>
      <w:r>
        <w:t>Проект заключения</w:t>
      </w:r>
    </w:p>
    <w:p>
      <w:r>
        <w:rPr>
          <w:b w:val="0"/>
        </w:rPr>
        <w:t>На [дату] между [А] и [Б] установлено [прямое основание ст. 4 / принадлежность к одной группе по конкретным пунктам ч. 1 ст. 9]. Факты подтверждены [реквизиты]. Поэтому [вывод по ст. 4]. Деятельность по п. [номер] приложения 6 подтверждается / требует проверки по [документы].</w:t>
      </w:r>
    </w:p>
    <w:p>
      <w:r>
        <w:rPr>
          <w:b w:val="0"/>
        </w:rPr>
        <w:t>________________________________________________________________________________</w:t>
      </w:r>
    </w:p>
    <w:p>
      <w:r>
        <w:rPr>
          <w:b w:val="0"/>
        </w:rPr>
        <w:t>________________________________________________________________________________</w:t>
      </w:r>
    </w:p>
    <w:p>
      <w:r>
        <w:rPr>
          <w:b w:val="0"/>
        </w:rPr>
        <w:t>________________________________________________________________________________</w:t>
      </w:r>
    </w:p>
    <w:p>
      <w:pPr>
        <w:pStyle w:val="Heading2"/>
      </w:pPr>
      <w:r>
        <w:t>Если не хватает доказательств</w:t>
      </w:r>
    </w:p>
    <w:p>
      <w:r>
        <w:rPr>
          <w:b w:val="0"/>
        </w:rPr>
        <w:t>По представленным данным аффилированность не установлена. Не подтверждено [звено] на [дату]. Для проверки основания [норма] требуются [конкретные сведения]. Запрос осуществляется, если и в порядке, предусмотренных процедурой отбора.</w:t>
      </w:r>
    </w:p>
    <w:p>
      <w:r>
        <w:rPr>
          <w:b w:val="0"/>
        </w:rPr>
        <w:t>________________________________________________________________________________</w:t>
      </w:r>
    </w:p>
    <w:p>
      <w:r>
        <w:rPr>
          <w:b w:val="0"/>
        </w:rPr>
        <w:t>________________________________________________________________________________</w:t>
      </w:r>
    </w:p>
    <w:p>
      <w:r>
        <w:rPr>
          <w:b w:val="0"/>
        </w:rPr>
        <w:t>Недостаточность доказательств не означает недостоверность сведений. Методическая форма не заменяет обязательные формы и решение компетентного органа.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36" w:right="1037" w:bottom="936" w:left="1037" w:header="432" w:footer="432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  <w:r>
      <w:rPr>
        <w:sz w:val="18"/>
      </w:rPr>
      <w:t xml:space="preserve">Версия 1.1 • 10.09.2026                                              </w:t>
    </w:r>
    <w:fldSimple w:instr="PAGE"/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Caption"/>
    </w:pPr>
    <w:r>
      <w:rPr>
        <w:sz w:val="16"/>
      </w:rPr>
      <w:t>АФФИЛИРОВАННОСТЬ • 646-ПП • УЧЕБНЫЙ КОМПЛЕКТ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2" w:lineRule="auto"/>
    </w:pPr>
    <w:rPr>
      <w:rFonts w:ascii="Times New Roman" w:hAnsi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  <w:rPr>
      <w:rFonts w:ascii="Times New Roman" w:hAnsi="Times New Roman"/>
      <w:sz w:val="22"/>
    </w:rPr>
  </w:style>
  <w:style w:type="character" w:customStyle="1" w:styleId="HeaderChar">
    <w:name w:val="Header Char"/>
    <w:basedOn w:val="DefaultParagraphFont"/>
    <w:link w:val="Header"/>
    <w:uiPriority w:val="99"/>
    <w:rsid w:val="00E618BF"/>
    <w:rPr>
      <w:rFonts w:ascii="Times New Roman" w:hAnsi="Times New Roman"/>
      <w:sz w:val="22"/>
    </w:rPr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  <w:rPr>
      <w:rFonts w:ascii="Times New Roman" w:hAnsi="Times New Roman"/>
      <w:sz w:val="22"/>
    </w:rPr>
  </w:style>
  <w:style w:type="character" w:customStyle="1" w:styleId="FooterChar">
    <w:name w:val="Footer Char"/>
    <w:basedOn w:val="DefaultParagraphFont"/>
    <w:link w:val="Footer"/>
    <w:uiPriority w:val="99"/>
    <w:rsid w:val="00E618BF"/>
    <w:rPr>
      <w:rFonts w:ascii="Times New Roman" w:hAnsi="Times New Roman"/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80" w:after="120"/>
      <w:outlineLvl w:val="0"/>
    </w:pPr>
    <w:rPr>
      <w:rFonts w:cstheme="majorBidi" w:ascii="Times New Roman" w:hAnsi="Times New Roman"/>
      <w:b/>
      <w:bCs/>
      <w:color w:val="182C3C"/>
      <w:sz w:val="3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80" w:after="120"/>
      <w:outlineLvl w:val="1"/>
    </w:pPr>
    <w:rPr>
      <w:rFonts w:cstheme="majorBidi" w:ascii="Times New Roman" w:hAnsi="Times New Roman"/>
      <w:b/>
      <w:bCs/>
      <w:color w:val="182C3C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80" w:after="120"/>
      <w:outlineLvl w:val="2"/>
    </w:pPr>
    <w:rPr>
      <w:rFonts w:cstheme="majorBidi" w:ascii="Times New Roman" w:hAnsi="Times New Roman"/>
      <w:b/>
      <w:bCs/>
      <w:color w:val="182C3C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cstheme="majorBidi" w:ascii="Times New Roman" w:hAnsi="Times New Roman"/>
      <w:b/>
      <w:bCs/>
      <w:i/>
      <w:iCs/>
      <w:color w:val="4F81BD" w:themeColor="accent1"/>
      <w:sz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cstheme="majorBidi" w:ascii="Times New Roman" w:hAnsi="Times New Roman"/>
      <w:color w:val="243F60" w:themeColor="accent1" w:themeShade="7F"/>
      <w:sz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cstheme="majorBidi" w:ascii="Times New Roman" w:hAnsi="Times New Roman"/>
      <w:i/>
      <w:iCs/>
      <w:color w:val="243F60" w:themeColor="accent1" w:themeShade="7F"/>
      <w:sz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cstheme="majorBidi" w:ascii="Times New Roman" w:hAnsi="Times New Roman"/>
      <w:i/>
      <w:iCs/>
      <w:color w:val="404040" w:themeColor="text1" w:themeTint="BF"/>
      <w:sz w:val="2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cstheme="majorBidi" w:ascii="Times New Roman" w:hAnsi="Times New Roman"/>
      <w:color w:val="4F81BD" w:themeColor="accent1"/>
      <w:sz w:val="22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cstheme="majorBidi" w:ascii="Times New Roman" w:hAnsi="Times New Roman"/>
      <w:i/>
      <w:iCs/>
      <w:color w:val="404040" w:themeColor="text1" w:themeTint="BF"/>
      <w:sz w:val="22"/>
      <w:szCs w:val="20"/>
    </w:rPr>
  </w:style>
  <w:style w:type="character" w:default="1" w:styleId="DefaultParagraphFont">
    <w:name w:val="Default Paragraph Font"/>
    <w:uiPriority w:val="1"/>
    <w:semiHidden/>
    <w:unhideWhenUsed/>
    <w:rPr>
      <w:rFonts w:ascii="Times New Roman" w:hAnsi="Times New Roman"/>
      <w:sz w:val="22"/>
    </w:rPr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  <w:rPr>
      <w:rFonts w:ascii="Times New Roman" w:hAnsi="Times New Roman"/>
      <w:sz w:val="22"/>
    </w:r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cstheme="majorBidi" w:ascii="Times New Roman" w:hAnsi="Times New Roman"/>
      <w:b/>
      <w:bCs/>
      <w:color w:val="365F91" w:themeColor="accent1" w:themeShade="BF"/>
      <w:sz w:val="22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cstheme="majorBidi" w:ascii="Times New Roman" w:hAnsi="Times New Roman"/>
      <w:b/>
      <w:bCs/>
      <w:color w:val="4F81BD" w:themeColor="accent1"/>
      <w:sz w:val="22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cstheme="majorBidi" w:ascii="Times New Roman" w:hAnsi="Times New Roman"/>
      <w:b/>
      <w:bCs/>
      <w:color w:val="4F81BD" w:themeColor="accent1"/>
      <w:sz w:val="22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spacing w:after="120" w:line="240" w:lineRule="auto" w:before="180"/>
      <w:contextualSpacing/>
    </w:pPr>
    <w:rPr>
      <w:rFonts w:cstheme="majorBidi" w:ascii="Times New Roman" w:hAnsi="Times New Roman"/>
      <w:b/>
      <w:color w:val="182C3C"/>
      <w:spacing w:val="5"/>
      <w:kern w:val="28"/>
      <w:sz w:val="4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cstheme="majorBidi" w:ascii="Times New Roman" w:hAnsi="Times New Roman"/>
      <w:color w:val="17365D" w:themeColor="text2" w:themeShade="BF"/>
      <w:spacing w:val="5"/>
      <w:kern w:val="28"/>
      <w:sz w:val="2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cstheme="majorBidi" w:ascii="Times New Roman" w:hAnsi="Times New Roman"/>
      <w:i/>
      <w:iCs/>
      <w:color w:val="4F81BD" w:themeColor="accent1"/>
      <w:spacing w:val="15"/>
      <w:sz w:val="22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cstheme="majorBidi" w:ascii="Times New Roman" w:hAnsi="Times New Roman"/>
      <w:i/>
      <w:iCs/>
      <w:color w:val="4F81BD" w:themeColor="accent1"/>
      <w:spacing w:val="15"/>
      <w:sz w:val="22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  <w:rPr>
      <w:rFonts w:ascii="Times New Roman" w:hAnsi="Times New Roman"/>
      <w:sz w:val="22"/>
    </w:r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  <w:rPr>
      <w:rFonts w:ascii="Times New Roman" w:hAnsi="Times New Roman"/>
      <w:sz w:val="22"/>
    </w:rPr>
  </w:style>
  <w:style w:type="character" w:customStyle="1" w:styleId="BodyTextChar">
    <w:name w:val="Body Text Char"/>
    <w:basedOn w:val="DefaultParagraphFont"/>
    <w:link w:val="BodyText"/>
    <w:uiPriority w:val="99"/>
    <w:rsid w:val="00AA1D8D"/>
    <w:rPr>
      <w:rFonts w:ascii="Times New Roman" w:hAnsi="Times New Roman"/>
      <w:sz w:val="22"/>
    </w:rPr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  <w:rPr>
      <w:rFonts w:ascii="Times New Roman" w:hAnsi="Times New Roman"/>
      <w:sz w:val="22"/>
    </w:rPr>
  </w:style>
  <w:style w:type="character" w:customStyle="1" w:styleId="BodyText2Char">
    <w:name w:val="Body Text 2 Char"/>
    <w:basedOn w:val="DefaultParagraphFont"/>
    <w:link w:val="BodyText2"/>
    <w:uiPriority w:val="99"/>
    <w:rsid w:val="00AA1D8D"/>
    <w:rPr>
      <w:rFonts w:ascii="Times New Roman" w:hAnsi="Times New Roman"/>
      <w:sz w:val="22"/>
    </w:rPr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rFonts w:ascii="Times New Roman" w:hAnsi="Times New Roman"/>
      <w:sz w:val="22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rFonts w:ascii="Times New Roman" w:hAnsi="Times New Roman"/>
      <w:sz w:val="22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  <w:rPr>
      <w:rFonts w:ascii="Times New Roman" w:hAnsi="Times New Roman"/>
      <w:sz w:val="22"/>
    </w:r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  <w:rPr>
      <w:rFonts w:ascii="Times New Roman" w:hAnsi="Times New Roman"/>
      <w:sz w:val="22"/>
    </w:r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  <w:rPr>
      <w:rFonts w:ascii="Times New Roman" w:hAnsi="Times New Roman"/>
      <w:sz w:val="22"/>
    </w:r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  <w:rPr>
      <w:rFonts w:ascii="Times New Roman" w:hAnsi="Times New Roman"/>
      <w:sz w:val="22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  <w:rPr>
      <w:rFonts w:ascii="Times New Roman" w:hAnsi="Times New Roman"/>
      <w:sz w:val="22"/>
    </w:r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  <w:rPr>
      <w:rFonts w:ascii="Times New Roman" w:hAnsi="Times New Roman"/>
      <w:sz w:val="22"/>
    </w:r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  <w:rPr>
      <w:rFonts w:ascii="Times New Roman" w:hAnsi="Times New Roman"/>
      <w:sz w:val="22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  <w:rPr>
      <w:rFonts w:ascii="Times New Roman" w:hAnsi="Times New Roman"/>
      <w:sz w:val="22"/>
    </w:r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  <w:rPr>
      <w:rFonts w:ascii="Times New Roman" w:hAnsi="Times New Roman"/>
      <w:sz w:val="22"/>
    </w:r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  <w:rPr>
      <w:rFonts w:ascii="Times New Roman" w:hAnsi="Times New Roman"/>
      <w:sz w:val="22"/>
    </w:r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  <w:rPr>
      <w:rFonts w:ascii="Times New Roman" w:hAnsi="Times New Roman"/>
      <w:sz w:val="22"/>
    </w:r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  <w:rPr>
      <w:rFonts w:ascii="Times New Roman" w:hAnsi="Times New Roman"/>
      <w:sz w:val="22"/>
    </w:r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Times New Roman" w:hAnsi="Times New Roman"/>
      <w:sz w:val="22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Times New Roman" w:hAnsi="Times New Roman"/>
      <w:sz w:val="22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rFonts w:ascii="Times New Roman" w:hAnsi="Times New Roman"/>
      <w:i/>
      <w:iCs/>
      <w:color w:val="000000" w:themeColor="text1"/>
      <w:sz w:val="22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rFonts w:ascii="Times New Roman" w:hAnsi="Times New Roman"/>
      <w:i/>
      <w:iCs/>
      <w:color w:val="000000" w:themeColor="text1"/>
      <w:sz w:val="2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cstheme="majorBidi" w:ascii="Times New Roman" w:hAnsi="Times New Roman"/>
      <w:b/>
      <w:bCs/>
      <w:i/>
      <w:iCs/>
      <w:color w:val="4F81BD" w:themeColor="accent1"/>
      <w:sz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cstheme="majorBidi" w:ascii="Times New Roman" w:hAnsi="Times New Roman"/>
      <w:color w:val="243F60" w:themeColor="accent1" w:themeShade="7F"/>
      <w:sz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cstheme="majorBidi" w:ascii="Times New Roman" w:hAnsi="Times New Roman"/>
      <w:i/>
      <w:iCs/>
      <w:color w:val="243F60" w:themeColor="accent1" w:themeShade="7F"/>
      <w:sz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cstheme="majorBidi" w:ascii="Times New Roman" w:hAnsi="Times New Roman"/>
      <w:i/>
      <w:iCs/>
      <w:color w:val="404040" w:themeColor="text1" w:themeTint="BF"/>
      <w:sz w:val="22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cstheme="majorBidi" w:ascii="Times New Roman" w:hAnsi="Times New Roman"/>
      <w:color w:val="4F81BD" w:themeColor="accent1"/>
      <w:sz w:val="22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cstheme="majorBidi" w:ascii="Times New Roman" w:hAnsi="Times New Roman"/>
      <w:i/>
      <w:iCs/>
      <w:color w:val="404040" w:themeColor="text1" w:themeTint="BF"/>
      <w:sz w:val="22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rFonts w:ascii="Times New Roman" w:hAnsi="Times New Roman"/>
      <w:b/>
      <w:bCs/>
      <w:color w:val="4F81BD" w:themeColor="accent1"/>
      <w:sz w:val="22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rFonts w:ascii="Times New Roman" w:hAnsi="Times New Roman"/>
      <w:b/>
      <w:bCs/>
      <w:sz w:val="22"/>
    </w:rPr>
  </w:style>
  <w:style w:type="character" w:styleId="Emphasis">
    <w:name w:val="Emphasis"/>
    <w:basedOn w:val="DefaultParagraphFont"/>
    <w:uiPriority w:val="20"/>
    <w:qFormat/>
    <w:rsid w:val="00FC693F"/>
    <w:rPr>
      <w:rFonts w:ascii="Times New Roman" w:hAnsi="Times New Roman"/>
      <w:i/>
      <w:iCs/>
      <w:sz w:val="22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spacing w:before="200" w:after="280"/>
      <w:ind w:left="936" w:right="936"/>
    </w:pPr>
    <w:rPr>
      <w:rFonts w:ascii="Times New Roman" w:hAnsi="Times New Roman"/>
      <w:b/>
      <w:bCs/>
      <w:i/>
      <w:iCs/>
      <w:color w:val="4F81BD" w:themeColor="accent1"/>
      <w:sz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rFonts w:ascii="Times New Roman" w:hAnsi="Times New Roman"/>
      <w:b/>
      <w:bCs/>
      <w:i/>
      <w:iCs/>
      <w:color w:val="4F81BD" w:themeColor="accent1"/>
      <w:sz w:val="22"/>
    </w:rPr>
  </w:style>
  <w:style w:type="character" w:styleId="SubtleEmphasis">
    <w:name w:val="Subtle Emphasis"/>
    <w:basedOn w:val="DefaultParagraphFont"/>
    <w:uiPriority w:val="19"/>
    <w:qFormat/>
    <w:rsid w:val="00FC693F"/>
    <w:rPr>
      <w:rFonts w:ascii="Times New Roman" w:hAnsi="Times New Roman"/>
      <w:i/>
      <w:iCs/>
      <w:color w:val="808080" w:themeColor="text1" w:themeTint="7F"/>
      <w:sz w:val="22"/>
    </w:rPr>
  </w:style>
  <w:style w:type="character" w:styleId="IntenseEmphasis">
    <w:name w:val="Intense Emphasis"/>
    <w:basedOn w:val="DefaultParagraphFont"/>
    <w:uiPriority w:val="21"/>
    <w:qFormat/>
    <w:rsid w:val="00FC693F"/>
    <w:rPr>
      <w:rFonts w:ascii="Times New Roman" w:hAnsi="Times New Roman"/>
      <w:b/>
      <w:bCs/>
      <w:i/>
      <w:iCs/>
      <w:color w:val="4F81BD" w:themeColor="accent1"/>
      <w:sz w:val="22"/>
    </w:rPr>
  </w:style>
  <w:style w:type="character" w:styleId="SubtleReference">
    <w:name w:val="Subtle Reference"/>
    <w:basedOn w:val="DefaultParagraphFont"/>
    <w:uiPriority w:val="31"/>
    <w:qFormat/>
    <w:rsid w:val="00FC693F"/>
    <w:rPr>
      <w:rFonts w:ascii="Times New Roman" w:hAnsi="Times New Roman"/>
      <w:smallCaps/>
      <w:color w:val="C0504D" w:themeColor="accent2"/>
      <w:sz w:val="2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rFonts w:ascii="Times New Roman" w:hAnsi="Times New Roman"/>
      <w:b/>
      <w:bCs/>
      <w:smallCaps/>
      <w:color w:val="C0504D" w:themeColor="accent2"/>
      <w:spacing w:val="5"/>
      <w:sz w:val="22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rFonts w:ascii="Times New Roman" w:hAnsi="Times New Roman"/>
      <w:b/>
      <w:bCs/>
      <w:smallCaps/>
      <w:spacing w:val="5"/>
      <w:sz w:val="22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  <w:rPr>
      <w:rFonts w:ascii="Times New Roman" w:hAnsi="Times New Roman"/>
      <w:sz w:val="22"/>
    </w:r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